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153" w:rsidRPr="004C7153" w:rsidRDefault="004C7153" w:rsidP="004C715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См. </w:t>
      </w:r>
      <w:hyperlink r:id="rId7" w:tooltip="Приказы Минобрнауки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Документы Министерства образования и науки Российской Федерации</w:t>
        </w:r>
      </w:hyperlink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ПИСЬМО</w:t>
      </w:r>
      <w:r w:rsidR="009971F1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 xml:space="preserve"> 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от 18 ноября 2015 г. N 09-3242</w:t>
      </w:r>
    </w:p>
    <w:p w:rsid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 НАПРАВЛЕНИИ ИНФОРМАЦИИ</w:t>
      </w:r>
    </w:p>
    <w:p w:rsidR="009971F1" w:rsidRDefault="009971F1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bookmarkStart w:id="0" w:name="_GoBack"/>
      <w:bookmarkEnd w:id="0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Во исполнение пункта 17 Плана мероприятий на 2015 - 2020 годы по реализации Концепции развития дополнительного образования детей, утвержденного распоряжением Правительства Российской Федерации от 24 апреля 2015 г. N </w:t>
      </w:r>
      <w:hyperlink r:id="rId8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729-р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, "Разработка предложений о сроках реализации дополнительных общеразвивающих программ",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Минобрнауки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России направляет методические рекомендации по проектированию дополнительных общеразвивающих программ (включая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разноуровневые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программы), разработанные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Минобрнауки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России совместно с ГАОУ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ВО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"Московский государственный педагогический университет", ФГАУ "Федеральный институт развития образования" и АНО дополнительного профессионального образования "Открытое образование".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Заместитель директора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Департамента государственной политики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 сфере воспитания детей и молодежи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С.В.МОЗГЛЯКОВА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МЕТОДИЧЕСКИЕ РЕКОМЕНДАЦИИ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ПО ПРОЕКТИРОВАНИЮ ДОПОЛНИТЕЛЬНЫХ ОБЩЕРАЗВИВАЮЩИХ ПРОГРАММ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(ВКЛЮЧАЯ РАЗНОУРОВНЕВЫЕ ПРОГРАММЫ)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 соответствии с Федеральным законом от 29 декабря 2012 г. N </w:t>
      </w:r>
      <w:hyperlink r:id="rId9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273-ФЗ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"Об образовании в Российской Федерации", (далее - Закон об образовании), дополнительное образование - это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образования. 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общеобразовательные программы для детей должны учитывать возрастные и индивидуальные особенности детей.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 соответствии с пунктом 1 статьи 28 Федерального закона от 29 декабря 2012 г. N </w:t>
      </w:r>
      <w:hyperlink r:id="rId10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273-ФЗ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"Об образовании в Российской Федерации" (далее - Закон об образовании), образовательная организация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настоящим Федеральным законом, иными нормативными правовыми актами Российской Федерации и уставом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образовательной организации. Согласно пункту 4 статьи 75 Закона об образовании, содержание дополнительных общеразвивающих программ и сроки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обучения по ним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определяются образовательной программой, разработанной и утвержденной организацией, осуществляющей образовательную деятельность. Содержание дополнительных предпрофессиональных программ </w:t>
      </w: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определяется образовательной программой, разработанной и утвержденной организацией, осуществляющей образовательную деятельность, в соответствии с федеральными государственными требованиями.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 соответствии с Концепцией развития дополнительного образования детей, утвержденной распоряжением правительства Российской Федерации от 4 сентября 2014 г. N </w:t>
      </w:r>
      <w:hyperlink r:id="rId11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1726-р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 (далее - Концепция) на современном этапе содержание дополнительных образовательных программ ориентировано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на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: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создание необходимых условий для личностного развития учащихся, позитивной социализации и профессионального самоопределения;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удовлетворение индивидуальных потребностей учащихся в интеллектуальном, художественно-эстетическом, нравственном развитии, а также в занятиях физической культурой и спортом, научно-техническим творчеством;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формирование и развитие творческих способностей учащихся, выявление, развитие и поддержку талантливых учащихся;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обеспечение духовно-нравственного, гражданского, патриотического, трудового воспитания учащихся;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подготовку спортивного резерва и спортсменов высокого класса в соответствии с федеральными стандартами спортивной подготовки, в том числе из числа учащихся с ограниченными возможностями здоровья, детей-инвалидов.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Приказом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Минобрнауки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России от 29 августа 2013 года N </w:t>
      </w:r>
      <w:hyperlink r:id="rId12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1008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утвержден Порядок организации и осуществления образовательной деятельности по дополнительным общеобразовательным программам (далее - Порядок), регулирующий организацию и осуществление образовательной деятельности по дополнительным общеобразовательным программам, в том числе особенности организации образовательной деятельности для учащихся с ограниченными возможностями здоровья, детей-инвалидов и инвалидов.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Согласно Порядку, организации, осуществляющие образовательную деятельность, реализуют дополнительные общеобразовательные программы в течение всего календарного года, включая каникулярное время.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Организации, осуществляющие образовательную деятельность, организуют образовательный процесс в соответствии с индивидуальными учебными планами в объединениях по интересам, сформированных в группы учащихся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театры) (далее - объединения), а также индивидуально.</w:t>
      </w:r>
      <w:proofErr w:type="gramEnd"/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СанПин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детей",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утвержденный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постановлением Главного государственного санитарного врача Российской Федерации от 4 июля 2014 года N </w:t>
      </w:r>
      <w:hyperlink r:id="rId13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41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установлены требования к организации образовательного процесса.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Организациями дополнительного образования, осуществляющими образовательную деятельность, организуется образовательный процесс в соответствии с дополнительной общеобразовательной программой. Занятия в объединениях проводятся по группам, подгруппам, индивидуально или всем составом объединения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социально-педагогической).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Продолжительность занятий в объединениях устанавливается локальным нормативным актом организации дополнительного образования, реализующей дополнительные общеобразовательные программы различной направленности.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РЕКОМЕНДУЕМЫЙ РЕЖИМ ЗАНЯТИЙ ДЕТЕЙ В ОРГАНИЗАЦИЯХ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ДОПОЛНИТЕЛЬНОГО ОБРАЗОВАНИЯ</w:t>
      </w:r>
    </w:p>
    <w:tbl>
      <w:tblPr>
        <w:tblW w:w="9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"/>
        <w:gridCol w:w="4005"/>
        <w:gridCol w:w="2136"/>
        <w:gridCol w:w="3111"/>
      </w:tblGrid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Направленность объединения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Число занятий в неделю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Число и продолжительность занятий в день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 с использованием компьютерной техники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30 мин. для детей в возрасте до 10 лет;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 для остальных обучающихся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 изобразительного и декоративно-прикладного искусства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2 - 4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 вокальные объединения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 по 45 мин. (групповые занятия);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30 - 45 мин. (индивидуальные занятия)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Хоровые объединения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Оркестровые объединения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30 - 45 мин. (индивидуальные занятия);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репетиция до 4-х часов с внутренним перерывом 20 - 25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Хореографические объединения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30 мин. для детей в возрасте до 8 лет;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 - для остальных обучающихся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Туристско-краеведческая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2 - 4; 1 - 2 похода или занятия на местности в месяц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2 - 4 по 45 мин.;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на местности или поход - до 8 часов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Естественнонаучная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1 - 3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 по 45 мин.;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на местности до 8 час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Физкультурно-спортивная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дополнительным общеразвивающим программам в области физической культуры и спорта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до 45 мин. для детей в возрасте до 8 лет;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 - для остальных обучающихся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Спортивно-оздоровительные группы (кроме командных игровых и технических видов спорта)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до 45 мин. для детей в возрасте до 8 лет;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 - для остальных обучающихся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Спортивно-оздоровительные группы в командно-игровых видах спорта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Спортивно-оздоровительные группы в технических видах спорта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Культурологическая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Тележурналистика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 по 45 мин.</w:t>
            </w:r>
          </w:p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занятия на местности - до 8 часов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Социально-педагогическая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1 - 3 по 45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Предшкольное</w:t>
            </w:r>
            <w:proofErr w:type="spellEnd"/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1 - 4 по 30 мин.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с оппозиционно вызывающим расстройством (ОВР)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2 - 4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 по 45 мин.</w:t>
            </w:r>
          </w:p>
        </w:tc>
      </w:tr>
    </w:tbl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Согласно Концепции, одним из принципов проектирования и реализации дополнительных общеобразовательных программ является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разноуровневость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. Такие программы предоставляют всем детям возможность занятий независимо от способностей и уровня общего развития. Под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разноуровневостью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понимается соблюдение при разработке и реализации программ дополнительного образования таких принципов, которые позволяют учитывать разный уровень развития и разную степень освоенности содержания детьми. Такие программы предполагают реализацию параллельных процессов освоения содержания программы на его разных уровнях углубленности, доступности и степени сложности, исходя из диагностики и стартовых возможностей каждого из участников рассматриваемой программы.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Содержание и материал программы дополнительного образования детей должны быть организованы по принципу дифференциации в соответствии со следующими уровнями сложности: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1. "Стартовый уровень". Предполагает использование и реализацию общедоступных и универсальных форм организации материала, минимальную сложность предлагаемого для освоения содержания программы.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2. "Базовый уровень". Предполагает использование и реализацию таких форм организации материала, которые допускают освоение специализированных знаний и языка, гарантированно обеспечивают трансляцию общей и целостной картины в рамках содержательно-тематического направления программы.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3. "Продвинутый уровень". Предполагает использование форм организации материала, обеспечивающих доступ к сложным (возможно узкоспециализированным) и нетривиальным разделам в рамках содержательно-тематического направления программы. Также предполагает углубленное изучение содержания программы и доступ к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околопрофессиональным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и профессиональным знаниям в рамках содержательно-тематического направления программы.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Каждый участник программы должен иметь право на стартовый доступ к любому из представленных уровней, которое реализуется через организацию условий и процедур оценки изначальной готовности участника (где определяется та или иная степень готовности к освоению содержания и материала заявленного участником уровня).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Дифференцированный по соответствующим уровням учебный материал может предлагаться в разных формах и типах источников для участников образовательной программы.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Предлагается предусматривать при разработке и реализации образовательной программы размещение методических и дидактических материалов на ресурсах в информационно-коммуникационной сети "Интернет" (далее - сеть "Интернет"); в печатном виде (Учебники, рабочие тетради, методические пособия и т.д.); в машиночитаемом виде, в формате, доступном для чтения на электронных устройствах (на персональных компьютерах, планшетах, смартфонах и т.д. в форматах *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pdf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, *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doc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, *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docx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и проч.);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в наглядном виде, посредством макетов, прототипов и реальных предметов и средств деятельности.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Каждый из трех уровней должен предполагать универсальную доступность для детей с любым видом и типом психофизиологических особенностей. В свою </w:t>
      </w: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очередь, материал программы должен учитывать особенности здоровья тех детей, которые могут испытывать сложности при чтении, прослушивании или совершении каких-либо манипуляций с предлагаемым им материалом.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Более подробная дифференциация материала по многообразию уровней (ступеней) сложности осуществляется исходя из содержательно-тематической специфики программы. Другими словами, программа дополнительного образования должна иметь собственную матрицу, описывающую систему уровней сложности содержания программы и соответствующие им достижения участников.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При реализации многоуровневых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программ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для повышения мотивации обучающихся необходимо разработать систему стимулирующего поощрения достижений, в которой ребенок, осваивающий программу, будет получать отличительные знаки за освоение каждой ступени программы.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Согласно пункту 4.1 приказа </w:t>
      </w: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Минобрнауки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России от 22 сентября 2015 г. N </w:t>
      </w:r>
      <w:hyperlink r:id="rId14" w:history="1">
        <w:r w:rsidRPr="004C7153">
          <w:rPr>
            <w:rFonts w:ascii="Arial" w:eastAsia="Times New Roman" w:hAnsi="Arial" w:cs="Arial"/>
            <w:color w:val="1B6DFD"/>
            <w:sz w:val="24"/>
            <w:szCs w:val="24"/>
            <w:bdr w:val="none" w:sz="0" w:space="0" w:color="auto" w:frame="1"/>
            <w:lang w:eastAsia="ru-RU"/>
          </w:rPr>
          <w:t>1040</w:t>
        </w:r>
      </w:hyperlink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"Об утверждении Общих требований к определению нормативных затрат на оказание государственных (муниципальных) услуг в сфере образования, науки и молодежной политики,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учреждением", нормативные затраты на оказание государственных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(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муниципальных) услуг по реализации дополнительных образовательных программ и основных программ профессионального обучения определяются в расчете на человеко-час по 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, обеспечения безопасных условий обучения и воспитания, охраны здоровья обучающихся, а также с учетом иных предусмотренных Законом об образовании особенностей организации и осуществления образовательных услуг (для различных категорий обучающихся).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Объем государственных (муниципальных) услуг по реализации дополнительных образовательных программ и основных программ профессионального обучения определяется образовательной программой, разработанной и утвержденной организацией, осуществляющую образовательную деятельность, в соответствии с частями 6 и 13 статьи 76 и частью 8 статьи 73 Закона об образовании, если иное не установлено федеральными законами.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proofErr w:type="spell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Минобрнауки</w:t>
      </w:r>
      <w:proofErr w:type="spell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России считает, что ребенок, завершивший </w:t>
      </w:r>
      <w:proofErr w:type="gramStart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обучение по программе</w:t>
      </w:r>
      <w:proofErr w:type="gramEnd"/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, разработанной образовательной организацией, является охваченным услугой дополнительного образования детей. Сроки реализации программы определяются образовательной организацией самостоятельно, с учетом категории обучающихся, их возрастом, особенностями здоровья, особенностями географического расположения образовательной организации, "уровнем" программы.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Приложения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ОБРАЗЦЫ ОФОРМЛЕНИЯ СТРУКТУРНЫХ ЭЛЕМЕНТОВ ДОПОЛНИТЕЛЬНЫХ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ОБЩЕОБРАЗОВАТЕЛЬНЫХ ОБЩЕРАЗВИВАЮЩИХ ПРОГРАММ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Приложение 1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Приложение 2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ОФОРМЛЕНИЕ УЧЕБНОГО ПЛАНА</w:t>
      </w:r>
    </w:p>
    <w:tbl>
      <w:tblPr>
        <w:tblW w:w="9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2833"/>
        <w:gridCol w:w="667"/>
        <w:gridCol w:w="867"/>
        <w:gridCol w:w="1192"/>
        <w:gridCol w:w="3441"/>
      </w:tblGrid>
      <w:tr w:rsidR="004C7153" w:rsidRPr="004C7153" w:rsidTr="004C7153"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Формы аттестации/контроля</w:t>
            </w:r>
          </w:p>
        </w:tc>
      </w:tr>
      <w:tr w:rsidR="004C7153" w:rsidRPr="004C7153" w:rsidTr="004C7153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0" w:type="dxa"/>
              <w:left w:w="60" w:type="dxa"/>
              <w:bottom w:w="100" w:type="dxa"/>
              <w:right w:w="60" w:type="dxa"/>
            </w:tcMar>
            <w:vAlign w:val="center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0" w:type="dxa"/>
              <w:left w:w="60" w:type="dxa"/>
              <w:bottom w:w="100" w:type="dxa"/>
              <w:right w:w="60" w:type="dxa"/>
            </w:tcMar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ОФОРМЛЕНИЕ СОДЕРЖАНИЯ УЧЕБНОГО ПЛАНА</w:t>
      </w:r>
    </w:p>
    <w:tbl>
      <w:tblPr>
        <w:tblW w:w="96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0"/>
      </w:tblGrid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 Общая физическая подготовка (ОФП)</w:t>
            </w:r>
          </w:p>
          <w:p w:rsidR="004C7153" w:rsidRPr="004C7153" w:rsidRDefault="004C7153" w:rsidP="004C71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Теория: Понятие ОФП. Функции ОФП.</w:t>
            </w:r>
          </w:p>
          <w:p w:rsidR="004C7153" w:rsidRPr="004C7153" w:rsidRDefault="004C7153" w:rsidP="004C71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Практика: Освоение навыков физической подготовки: бег по прямой, бег приставными шагами, бег с высоко поднятыми коленями, челночный бег, кувырки вперед и назад, приседания на месте, прыжки вверх и др.</w:t>
            </w:r>
          </w:p>
          <w:p w:rsidR="004C7153" w:rsidRPr="004C7153" w:rsidRDefault="004C7153" w:rsidP="004C715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Эстафета. Спортивные игры.</w:t>
            </w:r>
          </w:p>
        </w:tc>
      </w:tr>
    </w:tbl>
    <w:p w:rsidR="004C7153" w:rsidRPr="004C7153" w:rsidRDefault="004C7153" w:rsidP="004C71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C715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Приложение 3</w:t>
      </w:r>
    </w:p>
    <w:p w:rsidR="004C7153" w:rsidRPr="004C7153" w:rsidRDefault="004C7153" w:rsidP="004C7153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</w:pPr>
      <w:r w:rsidRPr="004C7153">
        <w:rPr>
          <w:rFonts w:ascii="inherit" w:eastAsia="Times New Roman" w:hAnsi="inherit" w:cs="Arial"/>
          <w:b/>
          <w:bCs/>
          <w:color w:val="222222"/>
          <w:sz w:val="24"/>
          <w:szCs w:val="24"/>
          <w:lang w:eastAsia="ru-RU"/>
        </w:rPr>
        <w:t>ОФОРМЛЕНИЕ КАЛЕНДАРНОГО УЧЕБНОГО ГРАФИКА</w:t>
      </w:r>
    </w:p>
    <w:tbl>
      <w:tblPr>
        <w:tblW w:w="96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728"/>
        <w:gridCol w:w="696"/>
        <w:gridCol w:w="1827"/>
        <w:gridCol w:w="1151"/>
        <w:gridCol w:w="896"/>
        <w:gridCol w:w="1088"/>
        <w:gridCol w:w="1521"/>
        <w:gridCol w:w="1313"/>
      </w:tblGrid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Время проведения занятия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</w:pPr>
            <w:r w:rsidRPr="004C7153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4C7153" w:rsidRPr="004C7153" w:rsidTr="004C715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C7153" w:rsidRPr="004C7153" w:rsidRDefault="004C7153" w:rsidP="004C71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E501B" w:rsidRDefault="000E501B"/>
    <w:sectPr w:rsidR="000E5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67F" w:rsidRDefault="0038367F" w:rsidP="009971F1">
      <w:pPr>
        <w:spacing w:after="0" w:line="240" w:lineRule="auto"/>
      </w:pPr>
      <w:r>
        <w:separator/>
      </w:r>
    </w:p>
  </w:endnote>
  <w:endnote w:type="continuationSeparator" w:id="0">
    <w:p w:rsidR="0038367F" w:rsidRDefault="0038367F" w:rsidP="00997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67F" w:rsidRDefault="0038367F" w:rsidP="009971F1">
      <w:pPr>
        <w:spacing w:after="0" w:line="240" w:lineRule="auto"/>
      </w:pPr>
      <w:r>
        <w:separator/>
      </w:r>
    </w:p>
  </w:footnote>
  <w:footnote w:type="continuationSeparator" w:id="0">
    <w:p w:rsidR="0038367F" w:rsidRDefault="0038367F" w:rsidP="009971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153"/>
    <w:rsid w:val="000E501B"/>
    <w:rsid w:val="0038367F"/>
    <w:rsid w:val="004C7153"/>
    <w:rsid w:val="0099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7153"/>
    <w:rPr>
      <w:color w:val="0000FF"/>
      <w:u w:val="single"/>
    </w:rPr>
  </w:style>
  <w:style w:type="paragraph" w:customStyle="1" w:styleId="pj">
    <w:name w:val="pj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">
    <w:name w:val="pc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">
    <w:name w:val="pr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">
    <w:name w:val="pl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971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71F1"/>
  </w:style>
  <w:style w:type="paragraph" w:styleId="a7">
    <w:name w:val="footer"/>
    <w:basedOn w:val="a"/>
    <w:link w:val="a8"/>
    <w:uiPriority w:val="99"/>
    <w:unhideWhenUsed/>
    <w:rsid w:val="009971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71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7153"/>
    <w:rPr>
      <w:color w:val="0000FF"/>
      <w:u w:val="single"/>
    </w:rPr>
  </w:style>
  <w:style w:type="paragraph" w:customStyle="1" w:styleId="pj">
    <w:name w:val="pj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">
    <w:name w:val="pc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">
    <w:name w:val="pr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">
    <w:name w:val="pl"/>
    <w:basedOn w:val="a"/>
    <w:rsid w:val="004C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971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71F1"/>
  </w:style>
  <w:style w:type="paragraph" w:styleId="a7">
    <w:name w:val="footer"/>
    <w:basedOn w:val="a"/>
    <w:link w:val="a8"/>
    <w:uiPriority w:val="99"/>
    <w:unhideWhenUsed/>
    <w:rsid w:val="009971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7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7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laws.ru/goverment/Rasporyazhenie-Pravitelstva-RF-ot-24.04.2015-N-729-r/" TargetMode="External"/><Relationship Id="rId13" Type="http://schemas.openxmlformats.org/officeDocument/2006/relationships/hyperlink" Target="http://rulaws.ru/acts/Prikaz-FST-Rossii-ot-14.07.2014-N-412-k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laws.ru/minobrnauki/" TargetMode="External"/><Relationship Id="rId12" Type="http://schemas.openxmlformats.org/officeDocument/2006/relationships/hyperlink" Target="http://rulaws.ru/acts/Prikaz-Minobrnauki-Rossii-ot-29.08.2013-N-1008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rulaws.ru/goverment/Rasporyazhenie-Pravitelstva-RF-ot-04.09.2014-N-1726-r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rulaws.ru/laws/Federalnyy-zakon-ot-29.12.2012-N-273-FZ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laws.ru/laws/Federalnyy-zakon-ot-29.12.2012-N-273-FZ/" TargetMode="External"/><Relationship Id="rId14" Type="http://schemas.openxmlformats.org/officeDocument/2006/relationships/hyperlink" Target="http://rulaws.ru/acts/Prikaz-Minobrnauki-Rossii-ot-22.09.2015-N-104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2404</Words>
  <Characters>13705</Characters>
  <Application>Microsoft Office Word</Application>
  <DocSecurity>0</DocSecurity>
  <Lines>114</Lines>
  <Paragraphs>32</Paragraphs>
  <ScaleCrop>false</ScaleCrop>
  <Company>*</Company>
  <LinksUpToDate>false</LinksUpToDate>
  <CharactersWithSpaces>16077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2019-03-15T15:11:00Z</dcterms:created>
  <dcterms:modified xsi:type="dcterms:W3CDTF">2019-03-16T21:23:00Z</dcterms:modified>
</cp:coreProperties>
</file>